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18-2/10/В-877 от 9 февраля 2018 г.</w:t>
      </w:r>
    </w:p>
    <w:p>
      <w:pPr>
        <w:pStyle w:val="Heading2"/>
        <w:rPr/>
      </w:pPr>
      <w:r>
        <w:rPr/>
        <w:t>Федеральные государственные органы</w:t>
        <w:br/>
        <w:t>Высшие органы исполнительной власти субъектов Российской Федерации</w:t>
        <w:br/>
        <w:t>Организации</w:t>
        <w:br/>
        <w:t xml:space="preserve">Центральный банк Российской Федерации 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</w:p>
    <w:p>
      <w:pPr>
        <w:pStyle w:val="TextBody"/>
        <w:rPr/>
      </w:pPr>
      <w:r>
        <w:rPr/>
        <w:t xml:space="preserve">Определение понятия «иностранные финансовые инструменты» предусмотрено частью 2 статьи 1 Федерального закона № 79-ФЗ. </w:t>
      </w:r>
    </w:p>
    <w:p>
      <w:pPr>
        <w:pStyle w:val="TextBody"/>
        <w:rPr/>
      </w:pPr>
      <w:r>
        <w:rPr/>
        <w:t xml:space="preserve"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 за счет иных средств страховщиков. </w:t>
      </w:r>
    </w:p>
    <w:p>
      <w:pPr>
        <w:pStyle w:val="TextBody"/>
        <w:rPr/>
      </w:pPr>
      <w:r>
        <w:rPr/>
        <w:t xml:space="preserve"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 </w:t>
      </w:r>
    </w:p>
    <w:p>
      <w:pPr>
        <w:pStyle w:val="TextBody"/>
        <w:rPr/>
      </w:pPr>
      <w:r>
        <w:rPr/>
        <w:t xml:space="preserve"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>
      <w:pPr>
        <w:pStyle w:val="TextBody"/>
        <w:rPr/>
      </w:pPr>
      <w:r>
        <w:rPr/>
        <w:t xml:space="preserve"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 страховщика. </w:t>
      </w:r>
    </w:p>
    <w:p>
      <w:pPr>
        <w:pStyle w:val="TextBody"/>
        <w:rPr/>
      </w:pPr>
      <w:r>
        <w:rPr/>
        <w:t xml:space="preserve"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выгодоприобретатель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 </w:t>
      </w:r>
    </w:p>
    <w:p>
      <w:pPr>
        <w:pStyle w:val="TextBody"/>
        <w:rPr/>
      </w:pPr>
      <w:r>
        <w:rPr/>
        <w:t xml:space="preserve"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 </w:t>
      </w:r>
    </w:p>
    <w:p>
      <w:pPr>
        <w:pStyle w:val="TextBody"/>
        <w:rPr/>
      </w:pPr>
      <w:r>
        <w:rPr/>
        <w:t xml:space="preserve">Правила страхования не предоставляют страхователю, застрахованному лицу и (или) выгодоприобретателю возможность совершать какие-либо юридически значимые действия в отношении рассматриваемых активов. </w:t>
      </w:r>
    </w:p>
    <w:p>
      <w:pPr>
        <w:pStyle w:val="TextBody"/>
        <w:rPr/>
      </w:pPr>
      <w:r>
        <w:rPr/>
        <w:t xml:space="preserve"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>
      <w:pPr>
        <w:pStyle w:val="TextBody"/>
        <w:rPr/>
      </w:pPr>
      <w:r>
        <w:rPr/>
        <w:t xml:space="preserve">В этой связи 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 </w:t>
      </w:r>
    </w:p>
    <w:p>
      <w:pPr>
        <w:pStyle w:val="TextBody"/>
        <w:rPr/>
      </w:pPr>
      <w:r>
        <w:rPr/>
        <w:t xml:space="preserve"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 </w:t>
      </w:r>
    </w:p>
    <w:p>
      <w:pPr>
        <w:pStyle w:val="TextBody"/>
        <w:rPr/>
      </w:pPr>
      <w:r>
        <w:rPr/>
        <w:t xml:space="preserve">Просим довести указанную информацию до сведения заинтересованных лиц и учитывать при применении законодательства о противодействии коррупции. 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А.А. Черкасов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